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</w:t>
      </w:r>
      <w:bookmarkStart w:id="0" w:name="_GoBack"/>
      <w:bookmarkEnd w:id="0"/>
      <w:r>
        <w:rPr>
          <w:rFonts w:ascii="Arial" w:hAnsi="Arial" w:cs="Arial"/>
          <w:color w:val="auto"/>
          <w:sz w:val="18"/>
          <w:szCs w:val="18"/>
        </w:rPr>
        <w:t>w prefabrykowanych.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F50306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ŚCIENNE I OPOROWE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ELE</w:t>
      </w:r>
      <w:r>
        <w:rPr>
          <w:rFonts w:ascii="Arial" w:hAnsi="Arial" w:cs="Arial"/>
          <w:sz w:val="18"/>
          <w:szCs w:val="18"/>
          <w:u w:val="single"/>
        </w:rPr>
        <w:t>MENTY KONSTRUKCYJNE (PN EN 14992, PN EN 15258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)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96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4"/>
        <w:gridCol w:w="1456"/>
        <w:gridCol w:w="1426"/>
        <w:gridCol w:w="1549"/>
        <w:gridCol w:w="1911"/>
      </w:tblGrid>
      <w:tr w:rsidR="00D12E78" w:rsidRPr="00D12E78" w:rsidTr="00D12E78">
        <w:trPr>
          <w:trHeight w:val="288"/>
        </w:trPr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57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82"/>
              <w:gridCol w:w="848"/>
              <w:gridCol w:w="963"/>
              <w:gridCol w:w="1062"/>
              <w:gridCol w:w="1205"/>
              <w:gridCol w:w="1079"/>
              <w:gridCol w:w="935"/>
            </w:tblGrid>
            <w:tr w:rsidR="00F50306" w:rsidRPr="00F50306" w:rsidTr="00F50306">
              <w:trPr>
                <w:trHeight w:val="576"/>
              </w:trPr>
              <w:tc>
                <w:tcPr>
                  <w:tcW w:w="348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Tolerancje na długości, grubości, wys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o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kości, przekątnych elementu</w:t>
                  </w:r>
                </w:p>
              </w:tc>
              <w:tc>
                <w:tcPr>
                  <w:tcW w:w="84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</w:t>
                  </w:r>
                </w:p>
              </w:tc>
              <w:tc>
                <w:tcPr>
                  <w:tcW w:w="5244" w:type="dxa"/>
                  <w:gridSpan w:val="5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Wymiary elementu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9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0 - 0,5m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˃0,5 - 3m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˃3 - 6m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˃6 - 10m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˃10m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A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3mm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5mm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6mm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8mm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B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8mm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14mm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16mm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18mm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52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2mm dla małych elementów okładzinowych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Tolerancje usytuowania otworów i wkł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a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dek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odchyłka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A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B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15mm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  <w:tc>
                <w:tcPr>
                  <w:tcW w:w="93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Tolerancja płaskości elementu</w:t>
                  </w:r>
                </w:p>
              </w:tc>
              <w:tc>
                <w:tcPr>
                  <w:tcW w:w="848" w:type="dxa"/>
                  <w:vMerge w:val="restart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</w:t>
                  </w:r>
                </w:p>
              </w:tc>
              <w:tc>
                <w:tcPr>
                  <w:tcW w:w="524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Odchylenie przy odległościach między punktami pomiarowymi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vMerge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202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0,2m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2014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3m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A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2mm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5mm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B</w:t>
                  </w:r>
                </w:p>
              </w:tc>
              <w:tc>
                <w:tcPr>
                  <w:tcW w:w="202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4mm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201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10mm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Tolerancja usytuowania puszki elektryc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z</w:t>
                  </w: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nej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</w:t>
                  </w:r>
                </w:p>
              </w:tc>
              <w:tc>
                <w:tcPr>
                  <w:tcW w:w="3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położenie wzdłuż i w poprzek</w:t>
                  </w:r>
                </w:p>
              </w:tc>
              <w:tc>
                <w:tcPr>
                  <w:tcW w:w="2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położenie w poziomie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A</w:t>
                  </w:r>
                </w:p>
              </w:tc>
              <w:tc>
                <w:tcPr>
                  <w:tcW w:w="3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2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+3; -5mm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B</w:t>
                  </w:r>
                </w:p>
              </w:tc>
              <w:tc>
                <w:tcPr>
                  <w:tcW w:w="32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15mm</w:t>
                  </w:r>
                </w:p>
              </w:tc>
              <w:tc>
                <w:tcPr>
                  <w:tcW w:w="201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+3; -5mm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 xml:space="preserve">Tolerancja usytuowania otworów i </w:t>
                  </w:r>
                  <w:proofErr w:type="spellStart"/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wycieć</w:t>
                  </w:r>
                  <w:proofErr w:type="spellEnd"/>
                </w:p>
              </w:tc>
              <w:tc>
                <w:tcPr>
                  <w:tcW w:w="2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na wysokości elementu</w:t>
                  </w:r>
                </w:p>
              </w:tc>
              <w:tc>
                <w:tcPr>
                  <w:tcW w:w="32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na szerokości elementu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287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321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</w:tr>
            <w:tr w:rsidR="00F50306" w:rsidRPr="00F50306" w:rsidTr="00F50306">
              <w:trPr>
                <w:trHeight w:val="708"/>
              </w:trPr>
              <w:tc>
                <w:tcPr>
                  <w:tcW w:w="3482" w:type="dxa"/>
                  <w:vMerge w:val="restart"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Tolerancje dla osadzenia akcesoriów</w:t>
                  </w: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rodzaj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odchylenie na długości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przesunięcie w osi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licowanie z elementem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 </w:t>
                  </w: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elementy liniowe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9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marki stalowe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9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3482" w:type="dxa"/>
                  <w:vMerge/>
                  <w:tcBorders>
                    <w:top w:val="nil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  <w:tc>
                <w:tcPr>
                  <w:tcW w:w="18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okucia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2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20mm</w:t>
                  </w:r>
                </w:p>
              </w:tc>
              <w:tc>
                <w:tcPr>
                  <w:tcW w:w="10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± 10mm</w:t>
                  </w:r>
                </w:p>
              </w:tc>
              <w:tc>
                <w:tcPr>
                  <w:tcW w:w="935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</w:p>
              </w:tc>
            </w:tr>
            <w:tr w:rsidR="00F50306" w:rsidRPr="00F50306" w:rsidTr="00F50306">
              <w:trPr>
                <w:trHeight w:val="288"/>
              </w:trPr>
              <w:tc>
                <w:tcPr>
                  <w:tcW w:w="9574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 A - stosuje się do powierzchni od strony formy</w:t>
                  </w:r>
                </w:p>
              </w:tc>
            </w:tr>
            <w:tr w:rsidR="00F50306" w:rsidRPr="00F50306" w:rsidTr="00F50306">
              <w:trPr>
                <w:trHeight w:val="300"/>
              </w:trPr>
              <w:tc>
                <w:tcPr>
                  <w:tcW w:w="9574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50306" w:rsidRPr="00F50306" w:rsidRDefault="00F50306" w:rsidP="00F50306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</w:pPr>
                  <w:r w:rsidRPr="00F50306">
                    <w:rPr>
                      <w:rFonts w:ascii="Arial" w:eastAsia="Times New Roman" w:hAnsi="Arial" w:cs="Arial"/>
                      <w:sz w:val="18"/>
                      <w:szCs w:val="18"/>
                      <w:bdr w:val="none" w:sz="0" w:space="0" w:color="auto"/>
                    </w:rPr>
                    <w:t>Klasa B - stosuje się do pozostałych powierzchni</w:t>
                  </w:r>
                </w:p>
              </w:tc>
            </w:tr>
          </w:tbl>
          <w:p w:rsidR="00D12E78" w:rsidRPr="00D12E78" w:rsidRDefault="00D12E78" w:rsidP="00D12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8" w:rsidRPr="00D12E78" w:rsidRDefault="00D12E78" w:rsidP="00D12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8" w:rsidRPr="00D12E78" w:rsidRDefault="00D12E78" w:rsidP="00D12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8" w:rsidRPr="00D12E78" w:rsidRDefault="00D12E78" w:rsidP="00D12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2E78" w:rsidRPr="00D12E78" w:rsidRDefault="00D12E78" w:rsidP="00D12E7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</w:tr>
    </w:tbl>
    <w:p w:rsidR="00F50306" w:rsidRDefault="00F50306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Prefabrykaty wykonywane są </w:t>
      </w:r>
      <w:r w:rsidR="00F50306">
        <w:rPr>
          <w:rFonts w:ascii="Arial" w:hAnsi="Arial" w:cs="Arial"/>
          <w:sz w:val="18"/>
          <w:szCs w:val="18"/>
        </w:rPr>
        <w:t xml:space="preserve">na stołach uchylnych </w:t>
      </w:r>
      <w:r>
        <w:rPr>
          <w:rFonts w:ascii="Arial" w:hAnsi="Arial" w:cs="Arial"/>
          <w:sz w:val="18"/>
          <w:szCs w:val="18"/>
        </w:rPr>
        <w:t xml:space="preserve">w szalunkach </w:t>
      </w:r>
      <w:r w:rsidR="00F50306">
        <w:rPr>
          <w:rFonts w:ascii="Arial" w:hAnsi="Arial" w:cs="Arial"/>
          <w:sz w:val="18"/>
          <w:szCs w:val="18"/>
        </w:rPr>
        <w:t xml:space="preserve">stalowych i obrzeżach </w:t>
      </w:r>
      <w:r>
        <w:rPr>
          <w:rFonts w:ascii="Arial" w:hAnsi="Arial" w:cs="Arial"/>
          <w:sz w:val="18"/>
          <w:szCs w:val="18"/>
        </w:rPr>
        <w:t>drewnianych ( sklejka szalunko</w:t>
      </w:r>
      <w:r w:rsidR="00F50306">
        <w:rPr>
          <w:rFonts w:ascii="Arial" w:hAnsi="Arial" w:cs="Arial"/>
          <w:sz w:val="18"/>
          <w:szCs w:val="18"/>
        </w:rPr>
        <w:t xml:space="preserve">wa ) </w:t>
      </w:r>
      <w:r>
        <w:rPr>
          <w:rFonts w:ascii="Arial" w:hAnsi="Arial" w:cs="Arial"/>
          <w:sz w:val="18"/>
          <w:szCs w:val="18"/>
        </w:rPr>
        <w:t>, tym samym posiadają trzy strony gładkie i jedną zacieraną. Rodzaj zatarcia do ustalenia przed podpisaniem umowy na wykonanie prefabrykatów – na ostro lub pacą stalową.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Krawędzie elementów fazowane trójkątne wymiary do ustalenia w trakcie przygotowania dokumentacji wykona</w:t>
      </w:r>
      <w:r>
        <w:rPr>
          <w:rFonts w:ascii="Arial" w:hAnsi="Arial" w:cs="Arial"/>
          <w:sz w:val="18"/>
          <w:szCs w:val="18"/>
        </w:rPr>
        <w:t>w</w:t>
      </w:r>
      <w:r>
        <w:rPr>
          <w:rFonts w:ascii="Arial" w:hAnsi="Arial" w:cs="Arial"/>
          <w:sz w:val="18"/>
          <w:szCs w:val="18"/>
        </w:rPr>
        <w:t>czej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Powierzchnie </w:t>
      </w:r>
      <w:r w:rsidR="00F50306">
        <w:rPr>
          <w:rFonts w:ascii="Arial" w:hAnsi="Arial" w:cs="Arial"/>
          <w:sz w:val="18"/>
          <w:szCs w:val="18"/>
        </w:rPr>
        <w:t>zacierana</w:t>
      </w:r>
      <w:r>
        <w:rPr>
          <w:rFonts w:ascii="Arial" w:hAnsi="Arial" w:cs="Arial"/>
          <w:sz w:val="18"/>
          <w:szCs w:val="18"/>
        </w:rPr>
        <w:t xml:space="preserve"> </w:t>
      </w:r>
      <w:r w:rsidR="00F50306">
        <w:rPr>
          <w:rFonts w:ascii="Arial" w:hAnsi="Arial" w:cs="Arial"/>
          <w:sz w:val="18"/>
          <w:szCs w:val="18"/>
        </w:rPr>
        <w:t>wymaga</w:t>
      </w:r>
      <w:r>
        <w:rPr>
          <w:rFonts w:ascii="Arial" w:hAnsi="Arial" w:cs="Arial"/>
          <w:sz w:val="18"/>
          <w:szCs w:val="18"/>
        </w:rPr>
        <w:t xml:space="preserve"> szpachlowania przed wykonaniem prac malarskich</w:t>
      </w:r>
    </w:p>
    <w:p w:rsidR="00DB2117" w:rsidRDefault="00DB2117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Na życzenie klienta istnieje możliwość wykonania szpachlowania elementów na etapie produkcji.</w:t>
      </w:r>
    </w:p>
    <w:p w:rsidR="00DB2117" w:rsidRDefault="00DB2117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wykonanie miejscowych poprawek powierzchni elementów przy użyciu mas szpachlowych i szl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fowania.</w:t>
      </w:r>
    </w:p>
    <w:p w:rsidR="00DB2117" w:rsidRDefault="00DB2117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D057B2" w:rsidRDefault="00D057B2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powierzchni od szalunków dopuszcza się możliwość występowania miejscowych zagłębień (pory) o głębok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ści 2mm, a łączna powierzchnia przy równomiernym występowaniu zagłębień nie może przekroczyć 2% całkow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tej ocenianej powierzchni. Powierzchnia pojedynczych pęcherzyków nie może przekroczyć 1cm²</w:t>
      </w:r>
    </w:p>
    <w:p w:rsidR="007E7979" w:rsidRDefault="00006ABD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Dopuszczalne jest występowanie rys skurczowych o rozwartości 0,3mm oraz różnice w kolorze poszczególnych prefabrykatów wynikające z właściwości stosowanych surowców. Warunek jednobarwności prefabrykatów musi być określony przez klienta przed podpisaniem umowy i stanowi podstawę dopłaty do wykonania betonu archite</w:t>
      </w:r>
      <w:r>
        <w:rPr>
          <w:rFonts w:ascii="Arial" w:hAnsi="Arial" w:cs="Arial"/>
          <w:sz w:val="18"/>
          <w:szCs w:val="18"/>
        </w:rPr>
        <w:t>k</w:t>
      </w:r>
      <w:r>
        <w:rPr>
          <w:rFonts w:ascii="Arial" w:hAnsi="Arial" w:cs="Arial"/>
          <w:sz w:val="18"/>
          <w:szCs w:val="18"/>
        </w:rPr>
        <w:t xml:space="preserve">tonicznego/widokowego. </w:t>
      </w:r>
      <w:r w:rsidRPr="007E7979">
        <w:rPr>
          <w:rFonts w:ascii="Arial" w:hAnsi="Arial" w:cs="Arial"/>
          <w:sz w:val="18"/>
          <w:szCs w:val="18"/>
        </w:rPr>
        <w:t>W betonach elewacyjnych jednolitość barwy ocenia się z punktu obejmującego pełny obrys obiektu</w:t>
      </w:r>
      <w:r>
        <w:rPr>
          <w:rFonts w:ascii="Arial" w:hAnsi="Arial" w:cs="Arial"/>
          <w:sz w:val="18"/>
          <w:szCs w:val="18"/>
        </w:rPr>
        <w:t xml:space="preserve"> 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8"/>
      <w:footerReference w:type="default" r:id="rId9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784" w:rsidRDefault="00183784">
      <w:r>
        <w:separator/>
      </w:r>
    </w:p>
  </w:endnote>
  <w:endnote w:type="continuationSeparator" w:id="0">
    <w:p w:rsidR="00183784" w:rsidRDefault="0018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784" w:rsidRDefault="00183784">
      <w:r>
        <w:separator/>
      </w:r>
    </w:p>
  </w:footnote>
  <w:footnote w:type="continuationSeparator" w:id="0">
    <w:p w:rsidR="00183784" w:rsidRDefault="0018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71E51"/>
    <w:rsid w:val="00084B9D"/>
    <w:rsid w:val="00180336"/>
    <w:rsid w:val="00183784"/>
    <w:rsid w:val="002608EC"/>
    <w:rsid w:val="002A3E2A"/>
    <w:rsid w:val="00337E30"/>
    <w:rsid w:val="003478C5"/>
    <w:rsid w:val="00416449"/>
    <w:rsid w:val="004A419D"/>
    <w:rsid w:val="004E599D"/>
    <w:rsid w:val="004F7FD7"/>
    <w:rsid w:val="00507737"/>
    <w:rsid w:val="005720C1"/>
    <w:rsid w:val="007465E5"/>
    <w:rsid w:val="00785160"/>
    <w:rsid w:val="007E7710"/>
    <w:rsid w:val="007E7979"/>
    <w:rsid w:val="007F66D7"/>
    <w:rsid w:val="00800A48"/>
    <w:rsid w:val="008A2993"/>
    <w:rsid w:val="008E2A58"/>
    <w:rsid w:val="009A13C1"/>
    <w:rsid w:val="00AC4B7A"/>
    <w:rsid w:val="00B764D1"/>
    <w:rsid w:val="00BF220D"/>
    <w:rsid w:val="00CE5153"/>
    <w:rsid w:val="00D057B2"/>
    <w:rsid w:val="00D1115B"/>
    <w:rsid w:val="00D12E78"/>
    <w:rsid w:val="00D933D8"/>
    <w:rsid w:val="00DB2117"/>
    <w:rsid w:val="00DC4DFB"/>
    <w:rsid w:val="00E16278"/>
    <w:rsid w:val="00E46BD0"/>
    <w:rsid w:val="00EA7E46"/>
    <w:rsid w:val="00EC7120"/>
    <w:rsid w:val="00EE2585"/>
    <w:rsid w:val="00F50306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5</cp:revision>
  <dcterms:created xsi:type="dcterms:W3CDTF">2019-01-10T12:48:00Z</dcterms:created>
  <dcterms:modified xsi:type="dcterms:W3CDTF">2019-01-11T08:02:00Z</dcterms:modified>
</cp:coreProperties>
</file>