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2A58" w:rsidRPr="00D933D8" w:rsidRDefault="008E2A58" w:rsidP="008E2A58">
      <w:pPr>
        <w:pStyle w:val="Nagwekistopka"/>
        <w:jc w:val="right"/>
        <w:rPr>
          <w:rFonts w:ascii="Verdana" w:hAnsi="Verdana" w:cs="Arial"/>
          <w:color w:val="6699FF"/>
          <w:sz w:val="18"/>
          <w:szCs w:val="18"/>
        </w:rPr>
      </w:pPr>
    </w:p>
    <w:p w:rsidR="007465E5" w:rsidRDefault="007465E5" w:rsidP="00785160">
      <w:pPr>
        <w:rPr>
          <w:rFonts w:ascii="Verdana" w:hAnsi="Verdana"/>
          <w:color w:val="6699FF"/>
          <w:sz w:val="20"/>
          <w:szCs w:val="20"/>
        </w:rPr>
      </w:pPr>
    </w:p>
    <w:p w:rsidR="007465E5" w:rsidRPr="00800A48" w:rsidRDefault="00800A48" w:rsidP="00800A48">
      <w:pPr>
        <w:jc w:val="center"/>
        <w:rPr>
          <w:rFonts w:ascii="Arial" w:hAnsi="Arial" w:cs="Arial"/>
          <w:b/>
          <w:color w:val="6699FF"/>
          <w:sz w:val="20"/>
          <w:szCs w:val="20"/>
          <w:u w:val="single"/>
        </w:rPr>
      </w:pPr>
      <w:r w:rsidRPr="00800A48">
        <w:rPr>
          <w:rFonts w:ascii="Arial" w:hAnsi="Arial" w:cs="Arial"/>
          <w:b/>
          <w:sz w:val="20"/>
          <w:szCs w:val="20"/>
          <w:u w:val="single"/>
        </w:rPr>
        <w:t xml:space="preserve">WARUNKI TECHNICZNE WYKONANIA ELEMENTÓW PREFABRYKOWANYCH </w:t>
      </w:r>
    </w:p>
    <w:p w:rsidR="007465E5" w:rsidRPr="00D1115B" w:rsidRDefault="007465E5" w:rsidP="00785160">
      <w:pPr>
        <w:rPr>
          <w:rFonts w:ascii="Arial" w:hAnsi="Arial" w:cs="Arial"/>
          <w:color w:val="6699FF"/>
          <w:sz w:val="18"/>
          <w:szCs w:val="18"/>
        </w:rPr>
      </w:pPr>
    </w:p>
    <w:p w:rsidR="007465E5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Prefabrykaty wyprodukowane przez firmę BETPREF Sp. z o.o. wykonywane są w oparciu o poniższe warunki techniczne oraz obowiązujące normy europejskie.</w:t>
      </w:r>
    </w:p>
    <w:p w:rsid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Na podstawie indywidualnych uzgodnień przed podpisaniem umowy, możliwe jest ustalenie indywidualnych w</w:t>
      </w:r>
      <w:r>
        <w:rPr>
          <w:rFonts w:ascii="Arial" w:hAnsi="Arial" w:cs="Arial"/>
          <w:color w:val="auto"/>
          <w:sz w:val="18"/>
          <w:szCs w:val="18"/>
        </w:rPr>
        <w:t>a</w:t>
      </w:r>
      <w:r>
        <w:rPr>
          <w:rFonts w:ascii="Arial" w:hAnsi="Arial" w:cs="Arial"/>
          <w:color w:val="auto"/>
          <w:sz w:val="18"/>
          <w:szCs w:val="18"/>
        </w:rPr>
        <w:t>runków wykonania elementów prefabrykowanych.</w:t>
      </w:r>
    </w:p>
    <w:p w:rsid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Przyjmuje się za standardowe wykonanie elementów wymagających przygotowania pod malowanie przez Klienta, elementy nie są wykonywane z betonu architektonicznego</w:t>
      </w:r>
      <w:r w:rsidR="007E7710">
        <w:rPr>
          <w:rFonts w:ascii="Arial" w:hAnsi="Arial" w:cs="Arial"/>
          <w:color w:val="auto"/>
          <w:sz w:val="18"/>
          <w:szCs w:val="18"/>
        </w:rPr>
        <w:t>/licowego/widokowego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800A48" w:rsidRP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</w:p>
    <w:p w:rsidR="007465E5" w:rsidRPr="00D12E78" w:rsidRDefault="00B50BDE" w:rsidP="007465E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ELEMENTY</w:t>
      </w:r>
      <w:r w:rsidR="007954CC">
        <w:rPr>
          <w:rFonts w:ascii="Arial" w:hAnsi="Arial" w:cs="Arial"/>
          <w:sz w:val="18"/>
          <w:szCs w:val="18"/>
          <w:u w:val="single"/>
        </w:rPr>
        <w:t xml:space="preserve"> FUNDAMENTOWE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="00155044">
        <w:rPr>
          <w:rFonts w:ascii="Arial" w:hAnsi="Arial" w:cs="Arial"/>
          <w:sz w:val="18"/>
          <w:szCs w:val="18"/>
          <w:u w:val="single"/>
        </w:rPr>
        <w:t>(P</w:t>
      </w:r>
      <w:r w:rsidR="007954CC">
        <w:rPr>
          <w:rFonts w:ascii="Arial" w:hAnsi="Arial" w:cs="Arial"/>
          <w:sz w:val="18"/>
          <w:szCs w:val="18"/>
          <w:u w:val="single"/>
        </w:rPr>
        <w:t>N EN 14991</w:t>
      </w:r>
      <w:r>
        <w:rPr>
          <w:rFonts w:ascii="Arial" w:hAnsi="Arial" w:cs="Arial"/>
          <w:sz w:val="18"/>
          <w:szCs w:val="18"/>
          <w:u w:val="single"/>
        </w:rPr>
        <w:t>)</w:t>
      </w:r>
      <w:r w:rsidR="00800A48" w:rsidRPr="00D12E78">
        <w:rPr>
          <w:rFonts w:ascii="Arial" w:hAnsi="Arial" w:cs="Arial"/>
          <w:sz w:val="18"/>
          <w:szCs w:val="18"/>
          <w:u w:val="single"/>
        </w:rPr>
        <w:t xml:space="preserve">  </w:t>
      </w:r>
    </w:p>
    <w:p w:rsidR="00800A48" w:rsidRDefault="00800A48" w:rsidP="007465E5">
      <w:pPr>
        <w:rPr>
          <w:rFonts w:ascii="Arial" w:hAnsi="Arial" w:cs="Arial"/>
          <w:sz w:val="18"/>
          <w:szCs w:val="18"/>
        </w:rPr>
      </w:pPr>
    </w:p>
    <w:tbl>
      <w:tblPr>
        <w:tblW w:w="94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8"/>
        <w:gridCol w:w="1773"/>
        <w:gridCol w:w="1206"/>
        <w:gridCol w:w="1395"/>
        <w:gridCol w:w="1499"/>
      </w:tblGrid>
      <w:tr w:rsidR="007954CC" w:rsidRPr="007954CC" w:rsidTr="007954CC">
        <w:trPr>
          <w:trHeight w:val="291"/>
        </w:trPr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na długości elementu</w:t>
            </w:r>
          </w:p>
        </w:tc>
        <w:tc>
          <w:tcPr>
            <w:tcW w:w="58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∆L = ± (10 + L / 1000 ≤ 40mm</w:t>
            </w:r>
          </w:p>
        </w:tc>
      </w:tr>
      <w:tr w:rsidR="007954CC" w:rsidRPr="007954CC" w:rsidTr="007954CC">
        <w:trPr>
          <w:trHeight w:val="291"/>
        </w:trPr>
        <w:tc>
          <w:tcPr>
            <w:tcW w:w="35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na przekrojach eleme</w:t>
            </w: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n</w:t>
            </w: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tu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Nominalny wymiar przekroju poprzecznego</w:t>
            </w:r>
          </w:p>
        </w:tc>
      </w:tr>
      <w:tr w:rsidR="007954CC" w:rsidRPr="007954CC" w:rsidTr="007954CC">
        <w:trPr>
          <w:trHeight w:val="291"/>
        </w:trPr>
        <w:tc>
          <w:tcPr>
            <w:tcW w:w="35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L ≤ 150mm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L = 400mm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L </w:t>
            </w:r>
            <w:r w:rsidRPr="007954CC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</w:rPr>
              <w:t>≥</w:t>
            </w: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 2500mm</w:t>
            </w:r>
          </w:p>
        </w:tc>
      </w:tr>
      <w:tr w:rsidR="007954CC" w:rsidRPr="007954CC" w:rsidTr="007954CC">
        <w:trPr>
          <w:trHeight w:val="291"/>
        </w:trPr>
        <w:tc>
          <w:tcPr>
            <w:tcW w:w="35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+10; -5mm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15mm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30mm</w:t>
            </w:r>
          </w:p>
        </w:tc>
      </w:tr>
      <w:tr w:rsidR="007954CC" w:rsidRPr="007954CC" w:rsidTr="007954CC">
        <w:trPr>
          <w:trHeight w:val="484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Tolerancja odchyłki kątowej prz</w:t>
            </w: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e</w:t>
            </w: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krojów końcowych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h/100 </w:t>
            </w:r>
            <w:r w:rsidRPr="007954CC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</w:rPr>
              <w:t>≤</w:t>
            </w: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 5mm</w:t>
            </w:r>
          </w:p>
        </w:tc>
      </w:tr>
      <w:tr w:rsidR="007954CC" w:rsidRPr="007954CC" w:rsidTr="007954CC">
        <w:trPr>
          <w:trHeight w:val="617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Tolerancja bocznego wygięcia każdej z powierzchni głównych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L / 700</w:t>
            </w:r>
          </w:p>
        </w:tc>
      </w:tr>
      <w:tr w:rsidR="007954CC" w:rsidRPr="007954CC" w:rsidTr="007954CC">
        <w:trPr>
          <w:trHeight w:val="714"/>
        </w:trPr>
        <w:tc>
          <w:tcPr>
            <w:tcW w:w="35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dla osadzenia akces</w:t>
            </w: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</w:t>
            </w: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riów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rodzaj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odchylenie na dług</w:t>
            </w: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</w:t>
            </w: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ści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przesunięcie w osi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licowanie z el</w:t>
            </w: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e</w:t>
            </w: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mentem</w:t>
            </w:r>
          </w:p>
        </w:tc>
      </w:tr>
      <w:tr w:rsidR="007954CC" w:rsidRPr="007954CC" w:rsidTr="007954CC">
        <w:trPr>
          <w:trHeight w:val="291"/>
        </w:trPr>
        <w:tc>
          <w:tcPr>
            <w:tcW w:w="35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elementy liniowe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10mm</w:t>
            </w:r>
          </w:p>
        </w:tc>
      </w:tr>
      <w:tr w:rsidR="007954CC" w:rsidRPr="007954CC" w:rsidTr="007954CC">
        <w:trPr>
          <w:trHeight w:val="291"/>
        </w:trPr>
        <w:tc>
          <w:tcPr>
            <w:tcW w:w="35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marki stalowe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10mm</w:t>
            </w:r>
          </w:p>
        </w:tc>
      </w:tr>
      <w:tr w:rsidR="007954CC" w:rsidRPr="007954CC" w:rsidTr="007954CC">
        <w:trPr>
          <w:trHeight w:val="291"/>
        </w:trPr>
        <w:tc>
          <w:tcPr>
            <w:tcW w:w="35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okucia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10mm</w:t>
            </w:r>
          </w:p>
        </w:tc>
      </w:tr>
      <w:tr w:rsidR="007954CC" w:rsidRPr="007954CC" w:rsidTr="007954CC">
        <w:trPr>
          <w:trHeight w:val="291"/>
        </w:trPr>
        <w:tc>
          <w:tcPr>
            <w:tcW w:w="35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dla otworów i wycięć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wymiar 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10mm</w:t>
            </w:r>
          </w:p>
        </w:tc>
      </w:tr>
      <w:tr w:rsidR="007954CC" w:rsidRPr="007954CC" w:rsidTr="007954CC">
        <w:trPr>
          <w:trHeight w:val="291"/>
        </w:trPr>
        <w:tc>
          <w:tcPr>
            <w:tcW w:w="35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położenie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25mm</w:t>
            </w:r>
          </w:p>
        </w:tc>
      </w:tr>
      <w:tr w:rsidR="007954CC" w:rsidRPr="007954CC" w:rsidTr="007954CC">
        <w:trPr>
          <w:trHeight w:val="291"/>
        </w:trPr>
        <w:tc>
          <w:tcPr>
            <w:tcW w:w="9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h - rozpatrywany wymiar przekroju wyrażony w mm</w:t>
            </w:r>
          </w:p>
        </w:tc>
      </w:tr>
      <w:tr w:rsidR="007954CC" w:rsidRPr="007954CC" w:rsidTr="007954CC">
        <w:trPr>
          <w:trHeight w:val="291"/>
        </w:trPr>
        <w:tc>
          <w:tcPr>
            <w:tcW w:w="946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L - nominalny wymiar liniowy wyrażony w mm</w:t>
            </w:r>
          </w:p>
        </w:tc>
      </w:tr>
      <w:tr w:rsidR="007954CC" w:rsidRPr="007954CC" w:rsidTr="007954CC">
        <w:trPr>
          <w:trHeight w:val="303"/>
        </w:trPr>
        <w:tc>
          <w:tcPr>
            <w:tcW w:w="946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954CC" w:rsidRPr="007954CC" w:rsidRDefault="007954CC" w:rsidP="007954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dotyczy : stopy i ich elementy ( kielichy), </w:t>
            </w:r>
            <w:proofErr w:type="spellStart"/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stoposłupy</w:t>
            </w:r>
            <w:proofErr w:type="spellEnd"/>
            <w:r w:rsidRPr="007954CC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, ławy fundamentowe </w:t>
            </w:r>
          </w:p>
        </w:tc>
      </w:tr>
    </w:tbl>
    <w:p w:rsidR="00B50BDE" w:rsidRDefault="00B50BDE" w:rsidP="007465E5">
      <w:pPr>
        <w:rPr>
          <w:rFonts w:ascii="Arial" w:hAnsi="Arial" w:cs="Arial"/>
          <w:sz w:val="18"/>
          <w:szCs w:val="18"/>
        </w:rPr>
      </w:pPr>
    </w:p>
    <w:p w:rsidR="00D12E78" w:rsidRDefault="00337E30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Wykończenie powierzchni</w:t>
      </w:r>
      <w:r w:rsidR="00F50306">
        <w:rPr>
          <w:rFonts w:ascii="Arial" w:hAnsi="Arial" w:cs="Arial"/>
          <w:sz w:val="18"/>
          <w:szCs w:val="18"/>
        </w:rPr>
        <w:t xml:space="preserve"> płaskich</w:t>
      </w:r>
    </w:p>
    <w:p w:rsidR="00421A9D" w:rsidRDefault="00421A9D" w:rsidP="00421A9D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Powierzchnie szalunkowe gładkie wymagające szpachlowania przed wykonaniem prac malarskich</w:t>
      </w:r>
    </w:p>
    <w:p w:rsidR="00421A9D" w:rsidRDefault="00421A9D" w:rsidP="00421A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Elementy mogą posiadać pęcherzyki powietrza tzw. pory do 5mm głębokości i dopuszcza się ich wystąpienie o średnicy 2mm &lt; d &lt; 15mm w ilości 2250 mm² na referencyjnej powierzchni 0,5 x 0,5m. Dopuszcza się możliwość występowania widocznych połączeń szalunkowych, ale nie mogą być to uskoki, rowki oraz raki.</w:t>
      </w:r>
    </w:p>
    <w:p w:rsidR="00421A9D" w:rsidRDefault="00421A9D" w:rsidP="00421A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wymogami normowymi istnieje możliwość wy</w:t>
      </w:r>
      <w:r>
        <w:rPr>
          <w:rFonts w:ascii="Arial" w:hAnsi="Arial" w:cs="Arial"/>
          <w:sz w:val="18"/>
          <w:szCs w:val="18"/>
        </w:rPr>
        <w:t>stępowania rys o rozwartości 0,3</w:t>
      </w:r>
      <w:r>
        <w:rPr>
          <w:rFonts w:ascii="Arial" w:hAnsi="Arial" w:cs="Arial"/>
          <w:sz w:val="18"/>
          <w:szCs w:val="18"/>
        </w:rPr>
        <w:t>mm (0,2mm elementy sprężone), głębokość do 15mm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życzenie klienta istnieje możliwość wykonania szpachlowania elementów na etapie produkcji</w:t>
      </w:r>
      <w:r>
        <w:rPr>
          <w:rFonts w:ascii="Arial" w:hAnsi="Arial" w:cs="Arial"/>
          <w:sz w:val="18"/>
          <w:szCs w:val="18"/>
        </w:rPr>
        <w:t xml:space="preserve"> (dopłata)</w:t>
      </w:r>
      <w:r>
        <w:rPr>
          <w:rFonts w:ascii="Arial" w:hAnsi="Arial" w:cs="Arial"/>
          <w:sz w:val="18"/>
          <w:szCs w:val="18"/>
        </w:rPr>
        <w:t>.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Dopuszcza się możliwość wykonywania miejscowych poprawek kosmetycznych przy użyciu mas szpachlowych lub szlifowania.</w:t>
      </w:r>
    </w:p>
    <w:p w:rsidR="00DB2117" w:rsidRDefault="006F0BDE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DB2117">
        <w:rPr>
          <w:rFonts w:ascii="Arial" w:hAnsi="Arial" w:cs="Arial"/>
          <w:sz w:val="18"/>
          <w:szCs w:val="18"/>
        </w:rPr>
        <w:t xml:space="preserve">lementy w których występuje </w:t>
      </w:r>
      <w:r w:rsidR="007E7979">
        <w:rPr>
          <w:rFonts w:ascii="Arial" w:hAnsi="Arial" w:cs="Arial"/>
          <w:sz w:val="18"/>
          <w:szCs w:val="18"/>
        </w:rPr>
        <w:t xml:space="preserve">wystające </w:t>
      </w:r>
      <w:r w:rsidR="00DB2117">
        <w:rPr>
          <w:rFonts w:ascii="Arial" w:hAnsi="Arial" w:cs="Arial"/>
          <w:sz w:val="18"/>
          <w:szCs w:val="18"/>
        </w:rPr>
        <w:t>zbrojenie po za lico betonu</w:t>
      </w:r>
      <w:r w:rsidR="007E7979">
        <w:rPr>
          <w:rFonts w:ascii="Arial" w:hAnsi="Arial" w:cs="Arial"/>
          <w:sz w:val="18"/>
          <w:szCs w:val="18"/>
        </w:rPr>
        <w:t>, po wcześniejszych uzgodnieniach (doda</w:t>
      </w:r>
      <w:r w:rsidR="007E7979">
        <w:rPr>
          <w:rFonts w:ascii="Arial" w:hAnsi="Arial" w:cs="Arial"/>
          <w:sz w:val="18"/>
          <w:szCs w:val="18"/>
        </w:rPr>
        <w:t>t</w:t>
      </w:r>
      <w:r w:rsidR="00F50306">
        <w:rPr>
          <w:rFonts w:ascii="Arial" w:hAnsi="Arial" w:cs="Arial"/>
          <w:sz w:val="18"/>
          <w:szCs w:val="18"/>
        </w:rPr>
        <w:t>kowa opcja) może takie zbrojenie być</w:t>
      </w:r>
      <w:r w:rsidR="007E7979">
        <w:rPr>
          <w:rFonts w:ascii="Arial" w:hAnsi="Arial" w:cs="Arial"/>
          <w:sz w:val="18"/>
          <w:szCs w:val="18"/>
        </w:rPr>
        <w:t xml:space="preserve"> zabezpieczo</w:t>
      </w:r>
      <w:r w:rsidR="00F50306">
        <w:rPr>
          <w:rFonts w:ascii="Arial" w:hAnsi="Arial" w:cs="Arial"/>
          <w:sz w:val="18"/>
          <w:szCs w:val="18"/>
        </w:rPr>
        <w:t xml:space="preserve">ne przeciw zabrudzeniu betonem. Zabrudzenie </w:t>
      </w:r>
      <w:r w:rsidR="004E599D">
        <w:rPr>
          <w:rFonts w:ascii="Arial" w:hAnsi="Arial" w:cs="Arial"/>
          <w:sz w:val="18"/>
          <w:szCs w:val="18"/>
        </w:rPr>
        <w:t>j</w:t>
      </w:r>
      <w:r w:rsidR="007E7979">
        <w:rPr>
          <w:rFonts w:ascii="Arial" w:hAnsi="Arial" w:cs="Arial"/>
          <w:sz w:val="18"/>
          <w:szCs w:val="18"/>
        </w:rPr>
        <w:t>est efektem technologicznym.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 w:rsidRPr="007E7979">
        <w:rPr>
          <w:rFonts w:ascii="Arial" w:hAnsi="Arial" w:cs="Arial"/>
          <w:sz w:val="18"/>
          <w:szCs w:val="18"/>
        </w:rPr>
        <w:t>Dopuszcza się występowanie mechanicznych uszkodzeń krawędzi. Głębokość uszkodzeń mierzona od p</w:t>
      </w:r>
      <w:r w:rsidRPr="007E7979">
        <w:rPr>
          <w:rFonts w:ascii="Arial" w:hAnsi="Arial" w:cs="Arial"/>
          <w:sz w:val="18"/>
          <w:szCs w:val="18"/>
        </w:rPr>
        <w:t>o</w:t>
      </w:r>
      <w:r w:rsidRPr="007E7979">
        <w:rPr>
          <w:rFonts w:ascii="Arial" w:hAnsi="Arial" w:cs="Arial"/>
          <w:sz w:val="18"/>
          <w:szCs w:val="18"/>
        </w:rPr>
        <w:t>wierzchni elementu nie powinna przekraczać 5 mm, a długość</w:t>
      </w:r>
      <w:r>
        <w:rPr>
          <w:rFonts w:ascii="Arial" w:hAnsi="Arial" w:cs="Arial"/>
          <w:sz w:val="18"/>
          <w:szCs w:val="18"/>
        </w:rPr>
        <w:t xml:space="preserve"> (mierzona wzdłuż krawędzi</w:t>
      </w:r>
      <w:r w:rsidRPr="007E7979">
        <w:rPr>
          <w:rFonts w:ascii="Arial" w:hAnsi="Arial" w:cs="Arial"/>
          <w:sz w:val="18"/>
          <w:szCs w:val="18"/>
        </w:rPr>
        <w:t>) nie powinna przekr</w:t>
      </w:r>
      <w:r w:rsidRPr="007E7979">
        <w:rPr>
          <w:rFonts w:ascii="Arial" w:hAnsi="Arial" w:cs="Arial"/>
          <w:sz w:val="18"/>
          <w:szCs w:val="18"/>
        </w:rPr>
        <w:t>a</w:t>
      </w:r>
      <w:r w:rsidRPr="007E7979">
        <w:rPr>
          <w:rFonts w:ascii="Arial" w:hAnsi="Arial" w:cs="Arial"/>
          <w:sz w:val="18"/>
          <w:szCs w:val="18"/>
        </w:rPr>
        <w:t xml:space="preserve">czać 50 mm. Liczba </w:t>
      </w:r>
      <w:r>
        <w:rPr>
          <w:rFonts w:ascii="Arial" w:hAnsi="Arial" w:cs="Arial"/>
          <w:sz w:val="18"/>
          <w:szCs w:val="18"/>
        </w:rPr>
        <w:t xml:space="preserve">uszkodzeń na 1 </w:t>
      </w:r>
      <w:proofErr w:type="spellStart"/>
      <w:r>
        <w:rPr>
          <w:rFonts w:ascii="Arial" w:hAnsi="Arial" w:cs="Arial"/>
          <w:sz w:val="18"/>
          <w:szCs w:val="18"/>
        </w:rPr>
        <w:t>mb</w:t>
      </w:r>
      <w:proofErr w:type="spellEnd"/>
      <w:r>
        <w:rPr>
          <w:rFonts w:ascii="Arial" w:hAnsi="Arial" w:cs="Arial"/>
          <w:sz w:val="18"/>
          <w:szCs w:val="18"/>
        </w:rPr>
        <w:t xml:space="preserve"> krawędzi</w:t>
      </w:r>
      <w:r w:rsidRPr="007E7979">
        <w:rPr>
          <w:rFonts w:ascii="Arial" w:hAnsi="Arial" w:cs="Arial"/>
          <w:sz w:val="18"/>
          <w:szCs w:val="18"/>
        </w:rPr>
        <w:t xml:space="preserve"> nie powinna być większa od 2, a łączna ich długość na jednej </w:t>
      </w:r>
      <w:r w:rsidRPr="007E7979">
        <w:rPr>
          <w:rFonts w:ascii="Arial" w:hAnsi="Arial" w:cs="Arial"/>
          <w:sz w:val="18"/>
          <w:szCs w:val="18"/>
        </w:rPr>
        <w:lastRenderedPageBreak/>
        <w:t>krawędzi nie powinna przekraczać 300mm. Uszkodzenia te winny być naprawione</w:t>
      </w:r>
      <w:r>
        <w:t xml:space="preserve"> </w:t>
      </w:r>
      <w:r w:rsidRPr="007E7979">
        <w:rPr>
          <w:rFonts w:ascii="Arial" w:hAnsi="Arial" w:cs="Arial"/>
          <w:sz w:val="18"/>
          <w:szCs w:val="18"/>
        </w:rPr>
        <w:t>przy prowadzeniu prac mala</w:t>
      </w:r>
      <w:r w:rsidRPr="007E7979">
        <w:rPr>
          <w:rFonts w:ascii="Arial" w:hAnsi="Arial" w:cs="Arial"/>
          <w:sz w:val="18"/>
          <w:szCs w:val="18"/>
        </w:rPr>
        <w:t>r</w:t>
      </w:r>
      <w:r w:rsidRPr="007E7979">
        <w:rPr>
          <w:rFonts w:ascii="Arial" w:hAnsi="Arial" w:cs="Arial"/>
          <w:sz w:val="18"/>
          <w:szCs w:val="18"/>
        </w:rPr>
        <w:t>skich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 w:rsidRPr="007E7979">
        <w:rPr>
          <w:rFonts w:ascii="Arial" w:hAnsi="Arial" w:cs="Arial"/>
          <w:sz w:val="18"/>
          <w:szCs w:val="18"/>
        </w:rPr>
        <w:t>Haki montażowe o ile dokumentacja nie przewiduje zastosowania rozwiązań typowych są wykonywane z prętów stalowych lub splotów sprężających o właściwej nośności w zależności od ciężaru elementu</w:t>
      </w:r>
    </w:p>
    <w:p w:rsidR="006F0BDE" w:rsidRPr="007E7979" w:rsidRDefault="006F0BDE" w:rsidP="006F0BDE">
      <w:pPr>
        <w:rPr>
          <w:rFonts w:ascii="Arial" w:hAnsi="Arial" w:cs="Arial"/>
          <w:sz w:val="18"/>
          <w:szCs w:val="18"/>
        </w:rPr>
      </w:pPr>
      <w:r w:rsidRPr="007E7979">
        <w:rPr>
          <w:rFonts w:ascii="Arial" w:hAnsi="Arial" w:cs="Arial"/>
          <w:sz w:val="18"/>
          <w:szCs w:val="18"/>
        </w:rPr>
        <w:t>Dopuszcza się różnice w kolorze poszczególnych prefabrykatów wynikające z właściwości stosowanych suro</w:t>
      </w:r>
      <w:r w:rsidRPr="007E7979">
        <w:rPr>
          <w:rFonts w:ascii="Arial" w:hAnsi="Arial" w:cs="Arial"/>
          <w:sz w:val="18"/>
          <w:szCs w:val="18"/>
        </w:rPr>
        <w:t>w</w:t>
      </w:r>
      <w:r w:rsidRPr="007E7979">
        <w:rPr>
          <w:rFonts w:ascii="Arial" w:hAnsi="Arial" w:cs="Arial"/>
          <w:sz w:val="18"/>
          <w:szCs w:val="18"/>
        </w:rPr>
        <w:t>ców. Warunek jednobarwności prefabrykatów musi być jednoznacznie określony przez klienta w zleceniu i st</w:t>
      </w:r>
      <w:r w:rsidRPr="007E7979">
        <w:rPr>
          <w:rFonts w:ascii="Arial" w:hAnsi="Arial" w:cs="Arial"/>
          <w:sz w:val="18"/>
          <w:szCs w:val="18"/>
        </w:rPr>
        <w:t>a</w:t>
      </w:r>
      <w:r w:rsidRPr="007E7979">
        <w:rPr>
          <w:rFonts w:ascii="Arial" w:hAnsi="Arial" w:cs="Arial"/>
          <w:sz w:val="18"/>
          <w:szCs w:val="18"/>
        </w:rPr>
        <w:t>nowi podstawę do naliczenia dodatku za beton elewacyjny. W betonach elewacyjnych jednolitość barwy ocenia się z punktu obejmującego pełny obrys obiektu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Elementy nie są impregnowane środkami ochronnymi</w:t>
      </w:r>
    </w:p>
    <w:p w:rsidR="006F0BDE" w:rsidRDefault="006F0BDE" w:rsidP="007465E5">
      <w:pPr>
        <w:rPr>
          <w:rFonts w:ascii="Arial" w:hAnsi="Arial" w:cs="Arial"/>
          <w:sz w:val="18"/>
          <w:szCs w:val="18"/>
        </w:rPr>
      </w:pPr>
    </w:p>
    <w:p w:rsidR="006F0BDE" w:rsidRDefault="006F0BDE" w:rsidP="007465E5">
      <w:pPr>
        <w:rPr>
          <w:rFonts w:ascii="Arial" w:hAnsi="Arial" w:cs="Arial"/>
          <w:sz w:val="18"/>
          <w:szCs w:val="18"/>
        </w:rPr>
      </w:pPr>
    </w:p>
    <w:p w:rsidR="006F0BDE" w:rsidRDefault="006F0BDE" w:rsidP="007465E5">
      <w:pPr>
        <w:rPr>
          <w:rFonts w:ascii="Arial" w:hAnsi="Arial" w:cs="Arial"/>
          <w:sz w:val="18"/>
          <w:szCs w:val="18"/>
        </w:rPr>
      </w:pPr>
    </w:p>
    <w:p w:rsidR="00337E30" w:rsidRDefault="00337E30" w:rsidP="007465E5">
      <w:pPr>
        <w:rPr>
          <w:rFonts w:ascii="Arial" w:hAnsi="Arial" w:cs="Arial"/>
          <w:sz w:val="18"/>
          <w:szCs w:val="18"/>
        </w:rPr>
      </w:pPr>
    </w:p>
    <w:p w:rsidR="00D12E78" w:rsidRDefault="00D12E78" w:rsidP="007465E5">
      <w:pPr>
        <w:rPr>
          <w:rFonts w:ascii="Arial" w:hAnsi="Arial" w:cs="Arial"/>
          <w:sz w:val="18"/>
          <w:szCs w:val="18"/>
        </w:rPr>
      </w:pPr>
    </w:p>
    <w:p w:rsidR="00D12E78" w:rsidRDefault="00D12E78" w:rsidP="007465E5">
      <w:pPr>
        <w:rPr>
          <w:rFonts w:ascii="Arial" w:hAnsi="Arial" w:cs="Arial"/>
          <w:sz w:val="18"/>
          <w:szCs w:val="18"/>
        </w:rPr>
      </w:pPr>
    </w:p>
    <w:p w:rsidR="007465E5" w:rsidRPr="00D1115B" w:rsidRDefault="007465E5" w:rsidP="007465E5">
      <w:pPr>
        <w:rPr>
          <w:rFonts w:ascii="Arial" w:hAnsi="Arial" w:cs="Arial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color w:val="6699FF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color w:val="6699FF"/>
          <w:sz w:val="18"/>
          <w:szCs w:val="18"/>
        </w:rPr>
      </w:pPr>
    </w:p>
    <w:p w:rsidR="00785160" w:rsidRPr="00D1115B" w:rsidRDefault="00785160" w:rsidP="007465E5">
      <w:pPr>
        <w:rPr>
          <w:rFonts w:ascii="Calibri" w:hAnsi="Calibri" w:cs="Calibri"/>
          <w:color w:val="6699FF"/>
          <w:sz w:val="18"/>
          <w:szCs w:val="18"/>
        </w:rPr>
      </w:pPr>
    </w:p>
    <w:sectPr w:rsidR="00785160" w:rsidRPr="00D1115B" w:rsidSect="00084B9D">
      <w:headerReference w:type="default" r:id="rId9"/>
      <w:footerReference w:type="default" r:id="rId10"/>
      <w:pgSz w:w="11900" w:h="16840"/>
      <w:pgMar w:top="2160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5D7" w:rsidRDefault="00E945D7">
      <w:r>
        <w:separator/>
      </w:r>
    </w:p>
  </w:endnote>
  <w:endnote w:type="continuationSeparator" w:id="0">
    <w:p w:rsidR="00E945D7" w:rsidRDefault="00E9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D0" w:rsidRPr="00E46BD0" w:rsidRDefault="00E46BD0" w:rsidP="00E46BD0">
    <w:pPr>
      <w:rPr>
        <w:rFonts w:ascii="Verdana" w:hAnsi="Verdana"/>
        <w:b/>
        <w:color w:val="B4C6E7" w:themeColor="accent1" w:themeTint="66"/>
        <w:sz w:val="14"/>
        <w:szCs w:val="14"/>
      </w:rPr>
    </w:pPr>
    <w:r w:rsidRPr="00E46BD0">
      <w:rPr>
        <w:rFonts w:ascii="Verdana" w:hAnsi="Verdana"/>
        <w:b/>
        <w:color w:val="B4C6E7" w:themeColor="accent1" w:themeTint="66"/>
        <w:sz w:val="14"/>
        <w:szCs w:val="14"/>
      </w:rPr>
      <w:t>___________________________________________________________________________________________</w:t>
    </w:r>
  </w:p>
  <w:p w:rsidR="002A3E2A" w:rsidRPr="00084B9D" w:rsidRDefault="002A3E2A" w:rsidP="009A13C1">
    <w:pPr>
      <w:jc w:val="center"/>
      <w:rPr>
        <w:rFonts w:ascii="Verdana" w:hAnsi="Verdana" w:cs="Calibri"/>
        <w:b/>
        <w:color w:val="6699FF"/>
        <w:sz w:val="14"/>
        <w:szCs w:val="14"/>
      </w:rPr>
    </w:pPr>
    <w:r w:rsidRPr="00084B9D">
      <w:rPr>
        <w:rFonts w:ascii="Verdana" w:hAnsi="Verdana"/>
        <w:b/>
        <w:color w:val="595959" w:themeColor="text1" w:themeTint="A6"/>
        <w:sz w:val="14"/>
        <w:szCs w:val="14"/>
      </w:rPr>
      <w:t>BET</w:t>
    </w:r>
    <w:r w:rsidRPr="00084B9D">
      <w:rPr>
        <w:rFonts w:ascii="Verdana" w:hAnsi="Verdana"/>
        <w:b/>
        <w:color w:val="6699FF"/>
        <w:sz w:val="14"/>
        <w:szCs w:val="14"/>
      </w:rPr>
      <w:t>PREF Sp. z o. o.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ul. Gajowa 31 ● 83-251 Pinczyn ● NIP: 5922274139 ● REGON: 380913387 ● BDO 000087019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nr konta bankowego: 67 1160 2202 0000 0003 6505 5703 Bank Millenium S.A.</w:t>
    </w:r>
  </w:p>
  <w:p w:rsidR="009A13C1" w:rsidRPr="00084B9D" w:rsidRDefault="009A13C1" w:rsidP="009A13C1">
    <w:pPr>
      <w:jc w:val="center"/>
      <w:rPr>
        <w:rFonts w:ascii="Verdana" w:hAnsi="Verdana"/>
        <w:b/>
        <w:color w:val="595959" w:themeColor="text1" w:themeTint="A6"/>
        <w:sz w:val="14"/>
        <w:szCs w:val="14"/>
      </w:rPr>
    </w:pPr>
    <w:r w:rsidRPr="00084B9D">
      <w:rPr>
        <w:rFonts w:ascii="Verdana" w:hAnsi="Verdana"/>
        <w:b/>
        <w:color w:val="595959" w:themeColor="text1" w:themeTint="A6"/>
        <w:sz w:val="14"/>
        <w:szCs w:val="14"/>
      </w:rPr>
      <w:t>Zakład Prefabrykacji</w:t>
    </w:r>
  </w:p>
  <w:p w:rsidR="009A13C1" w:rsidRPr="00084B9D" w:rsidRDefault="009A13C1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ul. Wapienna 10 ● 87-100 Toruń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www.betpref.pl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5D7" w:rsidRDefault="00E945D7">
      <w:r>
        <w:separator/>
      </w:r>
    </w:p>
  </w:footnote>
  <w:footnote w:type="continuationSeparator" w:id="0">
    <w:p w:rsidR="00E945D7" w:rsidRDefault="00E9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D0" w:rsidRPr="00B764D1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  <w:r w:rsidRPr="00D933D8">
      <w:rPr>
        <w:noProof/>
        <w:color w:val="6699FF"/>
      </w:rPr>
      <w:drawing>
        <wp:anchor distT="0" distB="0" distL="114300" distR="114300" simplePos="0" relativeHeight="251659264" behindDoc="1" locked="0" layoutInCell="1" allowOverlap="1" wp14:anchorId="5A53204B" wp14:editId="420AC6E5">
          <wp:simplePos x="0" y="0"/>
          <wp:positionH relativeFrom="margin">
            <wp:posOffset>2132330</wp:posOffset>
          </wp:positionH>
          <wp:positionV relativeFrom="paragraph">
            <wp:posOffset>-453390</wp:posOffset>
          </wp:positionV>
          <wp:extent cx="1802765" cy="1341120"/>
          <wp:effectExtent l="0" t="0" r="698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pref logo_Obszar roboczy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AC4B7A" w:rsidRPr="00AC4B7A" w:rsidRDefault="00E46BD0" w:rsidP="00AC4B7A">
    <w:pPr>
      <w:pStyle w:val="Nagwek"/>
      <w:rPr>
        <w:rFonts w:ascii="Verdana" w:hAnsi="Verdana" w:cs="Arial"/>
        <w:b/>
        <w:color w:val="2F5496" w:themeColor="accent1" w:themeShade="BF"/>
        <w:sz w:val="16"/>
        <w:szCs w:val="16"/>
        <w:u w:val="single"/>
      </w:rPr>
    </w:pPr>
    <w:r w:rsidRPr="00AC4B7A">
      <w:rPr>
        <w:rFonts w:ascii="Verdana" w:hAnsi="Verdana"/>
        <w:b/>
        <w:color w:val="2F5496" w:themeColor="accent1" w:themeShade="BF"/>
        <w:sz w:val="16"/>
        <w:szCs w:val="16"/>
        <w:u w:val="single"/>
      </w:rPr>
      <w:t>Sekretariat:</w:t>
    </w:r>
    <w:r w:rsidR="00AC4B7A" w:rsidRPr="00AC4B7A">
      <w:rPr>
        <w:rFonts w:ascii="Verdana" w:hAnsi="Verdana"/>
        <w:b/>
        <w:color w:val="2F5496" w:themeColor="accent1" w:themeShade="BF"/>
        <w:sz w:val="16"/>
        <w:szCs w:val="16"/>
      </w:rPr>
      <w:t xml:space="preserve">                                                                   </w:t>
    </w:r>
    <w:r w:rsidR="00AC4B7A" w:rsidRPr="00AC4B7A">
      <w:rPr>
        <w:color w:val="2F5496" w:themeColor="accent1" w:themeShade="BF"/>
      </w:rPr>
      <w:t xml:space="preserve"> 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</w:rPr>
      <w:t xml:space="preserve">Sp. z o.o.                           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  <w:u w:val="single"/>
      </w:rPr>
      <w:t>Zakład Prefabrykacji: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</w:rPr>
      <w:t xml:space="preserve">                                                  </w:t>
    </w:r>
  </w:p>
  <w:p w:rsidR="00AC4B7A" w:rsidRPr="00AC4B7A" w:rsidRDefault="00AC4B7A" w:rsidP="00AC4B7A">
    <w:pPr>
      <w:rPr>
        <w:rFonts w:ascii="Verdana" w:hAnsi="Verdana"/>
        <w:color w:val="2F5496" w:themeColor="accent1" w:themeShade="BF"/>
        <w:sz w:val="16"/>
        <w:szCs w:val="16"/>
      </w:rPr>
    </w:pPr>
    <w:r w:rsidRPr="00AC4B7A">
      <w:rPr>
        <w:rFonts w:ascii="Verdana" w:hAnsi="Verdana"/>
        <w:color w:val="2F5496" w:themeColor="accent1" w:themeShade="BF"/>
        <w:sz w:val="16"/>
        <w:szCs w:val="16"/>
      </w:rPr>
      <w:t xml:space="preserve">Tel. +48 728 970 718                                                                                                           </w:t>
    </w:r>
    <w:r w:rsidRPr="00AC4B7A">
      <w:rPr>
        <w:rFonts w:ascii="Verdana" w:hAnsi="Verdana" w:cs="Arial"/>
        <w:color w:val="2F5496" w:themeColor="accent1" w:themeShade="BF"/>
        <w:sz w:val="16"/>
        <w:szCs w:val="16"/>
      </w:rPr>
      <w:t>87 – 100 Toruń</w:t>
    </w:r>
  </w:p>
  <w:p w:rsidR="00AC4B7A" w:rsidRPr="00AC4B7A" w:rsidRDefault="00AC4B7A" w:rsidP="00AC4B7A">
    <w:pPr>
      <w:pStyle w:val="Nagwek"/>
      <w:rPr>
        <w:color w:val="2F5496" w:themeColor="accent1" w:themeShade="BF"/>
      </w:rPr>
    </w:pPr>
    <w:r w:rsidRPr="00AC4B7A">
      <w:rPr>
        <w:rFonts w:ascii="Verdana" w:hAnsi="Verdana"/>
        <w:color w:val="2F5496" w:themeColor="accent1" w:themeShade="BF"/>
        <w:sz w:val="16"/>
        <w:szCs w:val="16"/>
        <w:lang w:val="en-US"/>
      </w:rPr>
      <w:t xml:space="preserve">e-mail.: sekretariat@betpref.pl                                                                                             </w:t>
    </w:r>
    <w:r w:rsidRPr="00AC4B7A">
      <w:rPr>
        <w:rFonts w:ascii="Verdana" w:hAnsi="Verdana" w:cs="Arial"/>
        <w:color w:val="2F5496" w:themeColor="accent1" w:themeShade="BF"/>
        <w:sz w:val="16"/>
        <w:szCs w:val="16"/>
      </w:rPr>
      <w:t>ul. Wapienna 10</w:t>
    </w:r>
  </w:p>
  <w:p w:rsidR="00AC4B7A" w:rsidRPr="00AC4B7A" w:rsidRDefault="00AC4B7A">
    <w:pPr>
      <w:rPr>
        <w:b/>
        <w:color w:val="2F5496" w:themeColor="accent1" w:themeShade="BF"/>
      </w:rPr>
    </w:pPr>
    <w:r w:rsidRPr="00AC4B7A">
      <w:rPr>
        <w:b/>
        <w:color w:val="2F5496" w:themeColor="accent1" w:themeShade="BF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270"/>
    <w:multiLevelType w:val="hybridMultilevel"/>
    <w:tmpl w:val="6D885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2946"/>
    <w:multiLevelType w:val="hybridMultilevel"/>
    <w:tmpl w:val="D9C4DBCA"/>
    <w:lvl w:ilvl="0" w:tplc="8F08AEA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0DE37D16"/>
    <w:multiLevelType w:val="hybridMultilevel"/>
    <w:tmpl w:val="2B20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2948"/>
    <w:multiLevelType w:val="hybridMultilevel"/>
    <w:tmpl w:val="0ACC73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5B25"/>
    <w:multiLevelType w:val="hybridMultilevel"/>
    <w:tmpl w:val="3104B964"/>
    <w:lvl w:ilvl="0" w:tplc="5350AE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72E7543"/>
    <w:multiLevelType w:val="hybridMultilevel"/>
    <w:tmpl w:val="1D42D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929D5"/>
    <w:multiLevelType w:val="hybridMultilevel"/>
    <w:tmpl w:val="2012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B33DE"/>
    <w:multiLevelType w:val="hybridMultilevel"/>
    <w:tmpl w:val="D0501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D502AA"/>
    <w:multiLevelType w:val="hybridMultilevel"/>
    <w:tmpl w:val="FF3ADDC0"/>
    <w:lvl w:ilvl="0" w:tplc="2BC0BEC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315C62F3"/>
    <w:multiLevelType w:val="hybridMultilevel"/>
    <w:tmpl w:val="6E5C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F4042"/>
    <w:multiLevelType w:val="hybridMultilevel"/>
    <w:tmpl w:val="446EB6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E3A2C"/>
    <w:multiLevelType w:val="hybridMultilevel"/>
    <w:tmpl w:val="AE0692D6"/>
    <w:lvl w:ilvl="0" w:tplc="AC4A369A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46781D86"/>
    <w:multiLevelType w:val="hybridMultilevel"/>
    <w:tmpl w:val="DC845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3764D"/>
    <w:multiLevelType w:val="hybridMultilevel"/>
    <w:tmpl w:val="6624D96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07AED"/>
    <w:multiLevelType w:val="hybridMultilevel"/>
    <w:tmpl w:val="5372D53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14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5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D7"/>
    <w:rsid w:val="00006ABD"/>
    <w:rsid w:val="00064E62"/>
    <w:rsid w:val="00084B9D"/>
    <w:rsid w:val="00155044"/>
    <w:rsid w:val="00180336"/>
    <w:rsid w:val="002608EC"/>
    <w:rsid w:val="002A3E2A"/>
    <w:rsid w:val="00337E30"/>
    <w:rsid w:val="003478C5"/>
    <w:rsid w:val="00416449"/>
    <w:rsid w:val="00421A9D"/>
    <w:rsid w:val="004A419D"/>
    <w:rsid w:val="004E599D"/>
    <w:rsid w:val="004F7FD7"/>
    <w:rsid w:val="00507737"/>
    <w:rsid w:val="005720C1"/>
    <w:rsid w:val="006F0BDE"/>
    <w:rsid w:val="007465E5"/>
    <w:rsid w:val="00785160"/>
    <w:rsid w:val="007954CC"/>
    <w:rsid w:val="007E7710"/>
    <w:rsid w:val="007E7979"/>
    <w:rsid w:val="007F66D7"/>
    <w:rsid w:val="00800A48"/>
    <w:rsid w:val="008A2993"/>
    <w:rsid w:val="008E2A58"/>
    <w:rsid w:val="008F7766"/>
    <w:rsid w:val="009A13C1"/>
    <w:rsid w:val="00A97F8D"/>
    <w:rsid w:val="00AC4B7A"/>
    <w:rsid w:val="00B50BDE"/>
    <w:rsid w:val="00B764D1"/>
    <w:rsid w:val="00BF220D"/>
    <w:rsid w:val="00CE5153"/>
    <w:rsid w:val="00D057B2"/>
    <w:rsid w:val="00D1115B"/>
    <w:rsid w:val="00D12E78"/>
    <w:rsid w:val="00D933D8"/>
    <w:rsid w:val="00DB2117"/>
    <w:rsid w:val="00DC4DFB"/>
    <w:rsid w:val="00E16278"/>
    <w:rsid w:val="00E46BD0"/>
    <w:rsid w:val="00E945D7"/>
    <w:rsid w:val="00EA7E46"/>
    <w:rsid w:val="00EC7120"/>
    <w:rsid w:val="00EE2585"/>
    <w:rsid w:val="00F50306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7E4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8E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B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D0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7E4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8E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B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D0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8D32-A4F2-4744-8390-303269D4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k.sobolewski</dc:creator>
  <cp:lastModifiedBy>k.sobolewski</cp:lastModifiedBy>
  <cp:revision>3</cp:revision>
  <dcterms:created xsi:type="dcterms:W3CDTF">2019-01-11T08:15:00Z</dcterms:created>
  <dcterms:modified xsi:type="dcterms:W3CDTF">2019-01-11T08:19:00Z</dcterms:modified>
</cp:coreProperties>
</file>