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C63482" w:rsidRDefault="00800A48" w:rsidP="00800A4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</w:t>
      </w:r>
      <w:r w:rsidR="00C63482">
        <w:rPr>
          <w:rFonts w:ascii="Arial" w:hAnsi="Arial" w:cs="Arial"/>
          <w:b/>
          <w:sz w:val="20"/>
          <w:szCs w:val="20"/>
          <w:u w:val="single"/>
        </w:rPr>
        <w:t>PRZYGOTOWANIA BUDOWY DLA DOSTAWY I MONTAŻU</w:t>
      </w:r>
    </w:p>
    <w:p w:rsidR="007465E5" w:rsidRPr="00800A48" w:rsidRDefault="00C63482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ELEME</w:t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TÓW PREFABRYKOWANYCH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</w:t>
      </w:r>
      <w:r w:rsidR="00C63482">
        <w:rPr>
          <w:rFonts w:ascii="Arial" w:hAnsi="Arial" w:cs="Arial"/>
          <w:color w:val="auto"/>
          <w:sz w:val="18"/>
          <w:szCs w:val="18"/>
        </w:rPr>
        <w:t>konywane są w oparciu o</w:t>
      </w:r>
      <w:r>
        <w:rPr>
          <w:rFonts w:ascii="Arial" w:hAnsi="Arial" w:cs="Arial"/>
          <w:color w:val="auto"/>
          <w:sz w:val="18"/>
          <w:szCs w:val="18"/>
        </w:rPr>
        <w:t xml:space="preserve"> warunki technic</w:t>
      </w:r>
      <w:r>
        <w:rPr>
          <w:rFonts w:ascii="Arial" w:hAnsi="Arial" w:cs="Arial"/>
          <w:color w:val="auto"/>
          <w:sz w:val="18"/>
          <w:szCs w:val="18"/>
        </w:rPr>
        <w:t>z</w:t>
      </w:r>
      <w:r>
        <w:rPr>
          <w:rFonts w:ascii="Arial" w:hAnsi="Arial" w:cs="Arial"/>
          <w:color w:val="auto"/>
          <w:sz w:val="18"/>
          <w:szCs w:val="18"/>
        </w:rPr>
        <w:t xml:space="preserve">ne oraz </w:t>
      </w:r>
      <w:r w:rsidR="00C63482">
        <w:rPr>
          <w:rFonts w:ascii="Arial" w:hAnsi="Arial" w:cs="Arial"/>
          <w:color w:val="auto"/>
          <w:sz w:val="18"/>
          <w:szCs w:val="18"/>
        </w:rPr>
        <w:t xml:space="preserve">obowiązujące </w:t>
      </w:r>
      <w:r>
        <w:rPr>
          <w:rFonts w:ascii="Arial" w:hAnsi="Arial" w:cs="Arial"/>
          <w:color w:val="auto"/>
          <w:sz w:val="18"/>
          <w:szCs w:val="18"/>
        </w:rPr>
        <w:t xml:space="preserve">normy </w:t>
      </w:r>
      <w:r w:rsidR="00C63482">
        <w:rPr>
          <w:rFonts w:ascii="Arial" w:hAnsi="Arial" w:cs="Arial"/>
          <w:color w:val="auto"/>
          <w:sz w:val="18"/>
          <w:szCs w:val="18"/>
        </w:rPr>
        <w:t xml:space="preserve">i standardy </w:t>
      </w:r>
      <w:r>
        <w:rPr>
          <w:rFonts w:ascii="Arial" w:hAnsi="Arial" w:cs="Arial"/>
          <w:color w:val="auto"/>
          <w:sz w:val="18"/>
          <w:szCs w:val="18"/>
        </w:rPr>
        <w:t>europejskie.</w:t>
      </w:r>
      <w:r w:rsidR="00C63482">
        <w:rPr>
          <w:rFonts w:ascii="Arial" w:hAnsi="Arial" w:cs="Arial"/>
          <w:color w:val="auto"/>
          <w:sz w:val="18"/>
          <w:szCs w:val="18"/>
        </w:rPr>
        <w:t xml:space="preserve"> Tym samym montaż winien odbywać się z kół i być szczeg</w:t>
      </w:r>
      <w:r w:rsidR="00C63482">
        <w:rPr>
          <w:rFonts w:ascii="Arial" w:hAnsi="Arial" w:cs="Arial"/>
          <w:color w:val="auto"/>
          <w:sz w:val="18"/>
          <w:szCs w:val="18"/>
        </w:rPr>
        <w:t>ó</w:t>
      </w:r>
      <w:r w:rsidR="00C63482">
        <w:rPr>
          <w:rFonts w:ascii="Arial" w:hAnsi="Arial" w:cs="Arial"/>
          <w:color w:val="auto"/>
          <w:sz w:val="18"/>
          <w:szCs w:val="18"/>
        </w:rPr>
        <w:t>łowo zaplanowany. Poniżej przedstawiamy podstawowe parametry które winne być spełnione przed przystąpi</w:t>
      </w:r>
      <w:r w:rsidR="00C63482">
        <w:rPr>
          <w:rFonts w:ascii="Arial" w:hAnsi="Arial" w:cs="Arial"/>
          <w:color w:val="auto"/>
          <w:sz w:val="18"/>
          <w:szCs w:val="18"/>
        </w:rPr>
        <w:t>e</w:t>
      </w:r>
      <w:r w:rsidR="00C63482">
        <w:rPr>
          <w:rFonts w:ascii="Arial" w:hAnsi="Arial" w:cs="Arial"/>
          <w:color w:val="auto"/>
          <w:sz w:val="18"/>
          <w:szCs w:val="18"/>
        </w:rPr>
        <w:t>niem do montażu :</w:t>
      </w:r>
    </w:p>
    <w:p w:rsidR="00C63482" w:rsidRDefault="00C63482" w:rsidP="00785160">
      <w:pPr>
        <w:rPr>
          <w:rFonts w:ascii="Arial" w:hAnsi="Arial" w:cs="Arial"/>
          <w:color w:val="auto"/>
          <w:sz w:val="18"/>
          <w:szCs w:val="18"/>
        </w:rPr>
      </w:pPr>
    </w:p>
    <w:p w:rsidR="00C63482" w:rsidRDefault="00C63482" w:rsidP="00C63482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Przygotowanie dróg dojazdowych, wewnętrznych dróg na budowie oraz platformy roboczej</w:t>
      </w:r>
    </w:p>
    <w:p w:rsidR="00C63482" w:rsidRDefault="00C63482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Wykonanie i utrzymanie w należytym stanie wraz z odwodnieniem dróg montażowych zawsze jest po stronie Zamawiającego. Wynika to z faktu iż wykonuje on na budowie prace poprzedzające montaż prefabrykatów, a drogi są niezbędne do prowadzenia robót przez wszystkich uczestników procesu.</w:t>
      </w:r>
    </w:p>
    <w:p w:rsidR="00C63482" w:rsidRDefault="00C63482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Odpowiedzialność za nośność podłoża, jak również za nie usunięte przeszkody nadziemne i podziemne odp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wiada Zamawiający. Dla sprawdzenia podłoża zaleca się sprawdzenie jego nośności stosując badanie płytą st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tyczną i przeskanowanie gruntu </w:t>
      </w:r>
      <w:proofErr w:type="spellStart"/>
      <w:r>
        <w:rPr>
          <w:rFonts w:ascii="Arial" w:hAnsi="Arial" w:cs="Arial"/>
          <w:sz w:val="18"/>
          <w:szCs w:val="18"/>
        </w:rPr>
        <w:t>georadarem</w:t>
      </w:r>
      <w:proofErr w:type="spellEnd"/>
      <w:r>
        <w:rPr>
          <w:rFonts w:ascii="Arial" w:hAnsi="Arial" w:cs="Arial"/>
          <w:sz w:val="18"/>
          <w:szCs w:val="18"/>
        </w:rPr>
        <w:t xml:space="preserve"> do głębokości 3m pod poziomem w miejscach poruszania się cię</w:t>
      </w:r>
      <w:r>
        <w:rPr>
          <w:rFonts w:ascii="Arial" w:hAnsi="Arial" w:cs="Arial"/>
          <w:sz w:val="18"/>
          <w:szCs w:val="18"/>
        </w:rPr>
        <w:t>ż</w:t>
      </w:r>
      <w:r>
        <w:rPr>
          <w:rFonts w:ascii="Arial" w:hAnsi="Arial" w:cs="Arial"/>
          <w:sz w:val="18"/>
          <w:szCs w:val="18"/>
        </w:rPr>
        <w:t>kiego sprzętu transportowego i budowlanego (dźwig)</w:t>
      </w:r>
      <w:r w:rsidR="00CF69F1">
        <w:rPr>
          <w:rFonts w:ascii="Arial" w:hAnsi="Arial" w:cs="Arial"/>
          <w:sz w:val="18"/>
          <w:szCs w:val="18"/>
        </w:rPr>
        <w:t>.</w:t>
      </w:r>
    </w:p>
    <w:p w:rsidR="00CF69F1" w:rsidRDefault="00CF69F1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Przygotowanie zniwelowanego podłoża pod montaż elementów prefabrykowanych tzw. platforma robocza winna może zostać przeprowadzone w dwóch wariantach:</w:t>
      </w:r>
    </w:p>
    <w:p w:rsidR="00CF69F1" w:rsidRDefault="00CF69F1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- 30cm stabilizacji Ev2 = 120MPa oraz zabezpieczenie stabilizacji poprzez ułożenie tłucznia/kruszywa gr.10cm z tym samym modułem odkształcalności</w:t>
      </w:r>
    </w:p>
    <w:p w:rsidR="00CF69F1" w:rsidRDefault="00CF69F1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- 30 – 40 cm kruszywa zagęszczonego do Ev2 = 120MPa</w:t>
      </w:r>
    </w:p>
    <w:p w:rsidR="00F33944" w:rsidRDefault="00F33944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- płyty drogowe ułożone na podsypce z poszerzeniem na łapy dźwigu</w:t>
      </w:r>
    </w:p>
    <w:p w:rsidR="00ED5DA6" w:rsidRDefault="00ED5DA6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Naciski które winno przenieść podłoże dla odpowiedniej klasy dźwigu :</w:t>
      </w:r>
    </w:p>
    <w:p w:rsidR="00ED5DA6" w:rsidRDefault="00ED5DA6" w:rsidP="00C634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- dźwig o nośności   70 ton  -  160 t/m2</w:t>
      </w:r>
    </w:p>
    <w:p w:rsidR="00ED5DA6" w:rsidRDefault="00ED5DA6" w:rsidP="00ED5D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- dźwig o nośności 130 ton  -  20</w:t>
      </w:r>
      <w:r>
        <w:rPr>
          <w:rFonts w:ascii="Arial" w:hAnsi="Arial" w:cs="Arial"/>
          <w:sz w:val="18"/>
          <w:szCs w:val="18"/>
        </w:rPr>
        <w:t>0 t/m2</w:t>
      </w:r>
    </w:p>
    <w:p w:rsidR="00ED5DA6" w:rsidRDefault="00ED5DA6" w:rsidP="00ED5D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- dźwig o nośności </w:t>
      </w:r>
      <w:r>
        <w:rPr>
          <w:rFonts w:ascii="Arial" w:hAnsi="Arial" w:cs="Arial"/>
          <w:sz w:val="18"/>
          <w:szCs w:val="18"/>
        </w:rPr>
        <w:t>większej</w:t>
      </w:r>
      <w:r>
        <w:rPr>
          <w:rFonts w:ascii="Arial" w:hAnsi="Arial" w:cs="Arial"/>
          <w:sz w:val="18"/>
          <w:szCs w:val="18"/>
        </w:rPr>
        <w:t xml:space="preserve">  -  </w:t>
      </w:r>
      <w:r>
        <w:rPr>
          <w:rFonts w:ascii="Arial" w:hAnsi="Arial" w:cs="Arial"/>
          <w:sz w:val="18"/>
          <w:szCs w:val="18"/>
        </w:rPr>
        <w:t>wg indywidualnego określenia</w:t>
      </w:r>
    </w:p>
    <w:p w:rsidR="00ED5DA6" w:rsidRDefault="00ED5DA6" w:rsidP="00ED5D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Naciski pod autami transportującymi elementy prefabrykowane: 12 t/oś</w:t>
      </w:r>
    </w:p>
    <w:p w:rsidR="00F33944" w:rsidRDefault="00F33944" w:rsidP="00ED5D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Szerokość dróg montażowych min. 5m – uzależnione od stopnia prowadzenia prac innych podwykonawców – do ustalenia na wizji lokalnej.</w:t>
      </w:r>
    </w:p>
    <w:p w:rsidR="00ED5DA6" w:rsidRDefault="00ED5DA6" w:rsidP="00ED5DA6">
      <w:pPr>
        <w:rPr>
          <w:rFonts w:ascii="Arial" w:hAnsi="Arial" w:cs="Arial"/>
          <w:sz w:val="18"/>
          <w:szCs w:val="18"/>
        </w:rPr>
      </w:pPr>
    </w:p>
    <w:p w:rsidR="00F33944" w:rsidRDefault="00ED5DA6" w:rsidP="00ED5D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przygotowanych i nieutrzymanych dróg montażowych i platformy roboczej, skutkuje nie przystąpieniem do dostaw elementów, robót montażowych i generuje dodatkowe koszty w postaci przestojów środka transportow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go, przestoju ekipy montażowej, kosztów postoju jed</w:t>
      </w:r>
      <w:r w:rsidR="00225EC2">
        <w:rPr>
          <w:rFonts w:ascii="Arial" w:hAnsi="Arial" w:cs="Arial"/>
          <w:sz w:val="18"/>
          <w:szCs w:val="18"/>
        </w:rPr>
        <w:t>nostki dźwigowej i nie przesunię</w:t>
      </w:r>
      <w:r>
        <w:rPr>
          <w:rFonts w:ascii="Arial" w:hAnsi="Arial" w:cs="Arial"/>
          <w:sz w:val="18"/>
          <w:szCs w:val="18"/>
        </w:rPr>
        <w:t>ciem</w:t>
      </w:r>
      <w:r w:rsidR="00225EC2">
        <w:rPr>
          <w:rFonts w:ascii="Arial" w:hAnsi="Arial" w:cs="Arial"/>
          <w:sz w:val="18"/>
          <w:szCs w:val="18"/>
        </w:rPr>
        <w:t xml:space="preserve"> term</w:t>
      </w:r>
      <w:r w:rsidR="00F33944">
        <w:rPr>
          <w:rFonts w:ascii="Arial" w:hAnsi="Arial" w:cs="Arial"/>
          <w:sz w:val="18"/>
          <w:szCs w:val="18"/>
        </w:rPr>
        <w:t>inów realizacji z winy Zamawiają</w:t>
      </w:r>
      <w:r w:rsidR="00225EC2">
        <w:rPr>
          <w:rFonts w:ascii="Arial" w:hAnsi="Arial" w:cs="Arial"/>
          <w:sz w:val="18"/>
          <w:szCs w:val="18"/>
        </w:rPr>
        <w:t>cego.</w:t>
      </w:r>
    </w:p>
    <w:p w:rsidR="00F33944" w:rsidRDefault="00F33944" w:rsidP="00ED5DA6">
      <w:pPr>
        <w:rPr>
          <w:rFonts w:ascii="Arial" w:hAnsi="Arial" w:cs="Arial"/>
          <w:sz w:val="18"/>
          <w:szCs w:val="18"/>
        </w:rPr>
      </w:pPr>
    </w:p>
    <w:p w:rsidR="00F33944" w:rsidRDefault="00F33944" w:rsidP="00F33944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Sprawy formalne</w:t>
      </w:r>
    </w:p>
    <w:p w:rsidR="00F33944" w:rsidRDefault="00F33944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Przekazanie operatu wysokościowego fundamentów, wsporników, </w:t>
      </w:r>
      <w:proofErr w:type="spellStart"/>
      <w:r>
        <w:rPr>
          <w:rFonts w:ascii="Arial" w:hAnsi="Arial" w:cs="Arial"/>
          <w:sz w:val="18"/>
          <w:szCs w:val="18"/>
        </w:rPr>
        <w:t>podbetonów</w:t>
      </w:r>
      <w:proofErr w:type="spellEnd"/>
      <w:r>
        <w:rPr>
          <w:rFonts w:ascii="Arial" w:hAnsi="Arial" w:cs="Arial"/>
          <w:sz w:val="18"/>
          <w:szCs w:val="18"/>
        </w:rPr>
        <w:t>, wieńców lub innej konstrukcji, na której mają być montowane elementy prefabrykowane na minimum 7 dni przed planowanym rozpoczęciem mo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tażu.</w:t>
      </w:r>
    </w:p>
    <w:p w:rsidR="00ED5DA6" w:rsidRDefault="00F33944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Przekazanie operatu osiowości starterów z prętów,</w:t>
      </w:r>
      <w:r w:rsidR="00ED5DA6" w:rsidRPr="00F339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fundamentów, wsporników, </w:t>
      </w:r>
      <w:proofErr w:type="spellStart"/>
      <w:r>
        <w:rPr>
          <w:rFonts w:ascii="Arial" w:hAnsi="Arial" w:cs="Arial"/>
          <w:sz w:val="18"/>
          <w:szCs w:val="18"/>
        </w:rPr>
        <w:t>podbetonów</w:t>
      </w:r>
      <w:proofErr w:type="spellEnd"/>
      <w:r>
        <w:rPr>
          <w:rFonts w:ascii="Arial" w:hAnsi="Arial" w:cs="Arial"/>
          <w:sz w:val="18"/>
          <w:szCs w:val="18"/>
        </w:rPr>
        <w:t>, wieńców lub innej konstrukcji, na której mają być montowane elementy prefabrykowane na minimum 7 dni przed planowanym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poczęciem mo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tażu</w:t>
      </w:r>
    </w:p>
    <w:p w:rsidR="00F33944" w:rsidRDefault="00F33944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Trwale naniesione osie na fundamentach, </w:t>
      </w:r>
      <w:proofErr w:type="spellStart"/>
      <w:r>
        <w:rPr>
          <w:rFonts w:ascii="Arial" w:hAnsi="Arial" w:cs="Arial"/>
          <w:sz w:val="18"/>
          <w:szCs w:val="18"/>
        </w:rPr>
        <w:t>podbetonach</w:t>
      </w:r>
      <w:proofErr w:type="spellEnd"/>
      <w:r>
        <w:rPr>
          <w:rFonts w:ascii="Arial" w:hAnsi="Arial" w:cs="Arial"/>
          <w:sz w:val="18"/>
          <w:szCs w:val="18"/>
        </w:rPr>
        <w:t>, wieńcach minimum 5 dni przed planowaną datą rozp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częcia montażu</w:t>
      </w:r>
    </w:p>
    <w:p w:rsidR="00F33944" w:rsidRPr="00F33944" w:rsidRDefault="00F33944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Pisemne potwierdzenie zgodności lokalizacji osi naniesionych na budowie z dokumentacją projektową oraz w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sokości i lokalizacji reperów minimum 7 dni przed planowanym terminem rozpoczęcia montażu.</w:t>
      </w:r>
    </w:p>
    <w:p w:rsidR="00F33944" w:rsidRDefault="00F33944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Pisemne potwierdzenie </w:t>
      </w:r>
      <w:r>
        <w:rPr>
          <w:rFonts w:ascii="Arial" w:hAnsi="Arial" w:cs="Arial"/>
          <w:sz w:val="18"/>
          <w:szCs w:val="18"/>
        </w:rPr>
        <w:t>przez Zamawiającego możliwości montażu elementów prefabrykowanych na fundame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tach lub innej konstrukcji na której mają opierać się elementy</w:t>
      </w:r>
      <w:r>
        <w:rPr>
          <w:rFonts w:ascii="Arial" w:hAnsi="Arial" w:cs="Arial"/>
          <w:sz w:val="18"/>
          <w:szCs w:val="18"/>
        </w:rPr>
        <w:t xml:space="preserve"> minimum 7 dni przed planowanym terminem rozp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częcia montażu.</w:t>
      </w:r>
    </w:p>
    <w:p w:rsidR="00F33944" w:rsidRDefault="00F33944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Przekazanie kompletu dokumentacji instalacji i kanałów podziemnych w obszarach poruszania się dźwigu </w:t>
      </w:r>
      <w:r w:rsidR="001C3109">
        <w:rPr>
          <w:rFonts w:ascii="Arial" w:hAnsi="Arial" w:cs="Arial"/>
          <w:sz w:val="18"/>
          <w:szCs w:val="18"/>
        </w:rPr>
        <w:t>i ewe</w:t>
      </w:r>
      <w:r w:rsidR="001C3109">
        <w:rPr>
          <w:rFonts w:ascii="Arial" w:hAnsi="Arial" w:cs="Arial"/>
          <w:sz w:val="18"/>
          <w:szCs w:val="18"/>
        </w:rPr>
        <w:t>n</w:t>
      </w:r>
      <w:r w:rsidR="001C3109">
        <w:rPr>
          <w:rFonts w:ascii="Arial" w:hAnsi="Arial" w:cs="Arial"/>
          <w:sz w:val="18"/>
          <w:szCs w:val="18"/>
        </w:rPr>
        <w:t>tualnych wyników skanera gruntu na minimum 7 dni przed planowanym rozpoczęciem montażu.</w:t>
      </w:r>
    </w:p>
    <w:p w:rsidR="001C3109" w:rsidRDefault="001C3109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przypadkach szczególnych odśnieżanie, wypompowywanie wody, skucie lodu, usunięcie zalegającego gruntu na fundamentach lub innych elementach konstrukcyjnych na których mają być prowadzone prace montażowe elementów prefabrykowanych minimum 1 dzień przed planowanym terminem rozpoczęcia montażu.</w:t>
      </w:r>
    </w:p>
    <w:p w:rsidR="00954955" w:rsidRDefault="007702C6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 przypadku realizacji tylko dostaw elementów na budowę ( bez montażu ), przedstawiciel Zamawiającego p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twierdza własnorę</w:t>
      </w:r>
      <w:r w:rsidR="00954955">
        <w:rPr>
          <w:rFonts w:ascii="Arial" w:hAnsi="Arial" w:cs="Arial"/>
          <w:sz w:val="18"/>
          <w:szCs w:val="18"/>
        </w:rPr>
        <w:t>cznym podpisem dokumenty WZ jako odbiór ilościowy elementów. Tym samym przejmuje pe</w:t>
      </w:r>
      <w:r w:rsidR="00954955">
        <w:rPr>
          <w:rFonts w:ascii="Arial" w:hAnsi="Arial" w:cs="Arial"/>
          <w:sz w:val="18"/>
          <w:szCs w:val="18"/>
        </w:rPr>
        <w:t>ł</w:t>
      </w:r>
      <w:r w:rsidR="00954955">
        <w:rPr>
          <w:rFonts w:ascii="Arial" w:hAnsi="Arial" w:cs="Arial"/>
          <w:sz w:val="18"/>
          <w:szCs w:val="18"/>
        </w:rPr>
        <w:t>ną odpowiedzialność za uszkodzenie elementów w trakcie rozładunku i montażu.</w:t>
      </w:r>
    </w:p>
    <w:p w:rsidR="007702C6" w:rsidRDefault="00954955" w:rsidP="00F339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zobowiązany jest w terminie 3 dni od dostawy dokonać odbioru jakościowego elementów, wg pr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cedury reklamacyjnej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tj. sporządzenie notatki/protokołu wraz z dokumentacją zdjęciową elementów przed prz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stąpieniem do montażu i przesłanie do producenta. Niedopełnienie procedury reklamacyjnej skutkować może odrzuceniem roszczeń reklamującego.</w:t>
      </w:r>
      <w:r w:rsidR="007702C6">
        <w:rPr>
          <w:rFonts w:ascii="Arial" w:hAnsi="Arial" w:cs="Arial"/>
          <w:sz w:val="18"/>
          <w:szCs w:val="18"/>
        </w:rPr>
        <w:t xml:space="preserve"> </w:t>
      </w:r>
    </w:p>
    <w:p w:rsidR="001C3109" w:rsidRDefault="001C3109" w:rsidP="00F33944">
      <w:pPr>
        <w:rPr>
          <w:rFonts w:ascii="Arial" w:hAnsi="Arial" w:cs="Arial"/>
          <w:sz w:val="18"/>
          <w:szCs w:val="18"/>
        </w:rPr>
      </w:pPr>
    </w:p>
    <w:p w:rsidR="001C3109" w:rsidRDefault="001C3109" w:rsidP="001C3109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elementy niezbędne do wykonania montażu</w:t>
      </w:r>
    </w:p>
    <w:p w:rsidR="001C3109" w:rsidRDefault="007702C6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udostępnienie prądu na pla</w:t>
      </w:r>
      <w:r w:rsidR="001C3109">
        <w:rPr>
          <w:rFonts w:ascii="Arial" w:hAnsi="Arial" w:cs="Arial"/>
          <w:sz w:val="18"/>
          <w:szCs w:val="18"/>
        </w:rPr>
        <w:t>cu budowy – rozdzielnie budowlane usytuowane w zależności od wielkości obiektu na siatce 50m, - niezbędne do mieszania zapraw zalewowych w pobliżu montowanych eleme</w:t>
      </w:r>
      <w:r w:rsidR="001C3109">
        <w:rPr>
          <w:rFonts w:ascii="Arial" w:hAnsi="Arial" w:cs="Arial"/>
          <w:sz w:val="18"/>
          <w:szCs w:val="18"/>
        </w:rPr>
        <w:t>n</w:t>
      </w:r>
      <w:r w:rsidR="001C3109">
        <w:rPr>
          <w:rFonts w:ascii="Arial" w:hAnsi="Arial" w:cs="Arial"/>
          <w:sz w:val="18"/>
          <w:szCs w:val="18"/>
        </w:rPr>
        <w:t>tów, cięcie zawiesi, dogrzewanie połączeń w okresie zimowym</w:t>
      </w:r>
    </w:p>
    <w:p w:rsidR="001C3109" w:rsidRDefault="001C3109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udostępnienie wody technologicznej – ujęcia co 200m w zależności od wielości obiektu</w:t>
      </w:r>
    </w:p>
    <w:p w:rsidR="001C3109" w:rsidRDefault="001C3109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oświetlenie – minimum 200luxów w obszarze montażu, poruszania się ludzi, transportów i dźwigu</w:t>
      </w:r>
    </w:p>
    <w:p w:rsidR="001C3109" w:rsidRDefault="001C3109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udostępnienie zaplecza socjalnego – kontener, WC, umywalnia</w:t>
      </w:r>
    </w:p>
    <w:p w:rsidR="001C3109" w:rsidRDefault="001C3109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ochrona placu budowy i ubezpieczenie sprzętu i kontenerów od kradzieży</w:t>
      </w:r>
    </w:p>
    <w:p w:rsidR="001C3109" w:rsidRDefault="001C3109" w:rsidP="001C3109">
      <w:pPr>
        <w:rPr>
          <w:rFonts w:ascii="Arial" w:hAnsi="Arial" w:cs="Arial"/>
          <w:sz w:val="18"/>
          <w:szCs w:val="18"/>
        </w:rPr>
      </w:pPr>
    </w:p>
    <w:p w:rsidR="001C3109" w:rsidRDefault="001C3109" w:rsidP="001C3109">
      <w:pPr>
        <w:pStyle w:val="Akapitzlist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Konsekwencje wynikające z niedopełnienia przygotowania placu budowy pod montaż elementów pref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brykowanych</w:t>
      </w:r>
    </w:p>
    <w:p w:rsidR="001C3109" w:rsidRDefault="001C3109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opóźnienie robót w stosunku do przyjętego harmonogramu robót</w:t>
      </w:r>
    </w:p>
    <w:p w:rsidR="001C3109" w:rsidRDefault="001C3109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koszty przestoju </w:t>
      </w:r>
      <w:r w:rsidR="007702C6">
        <w:rPr>
          <w:rFonts w:ascii="Arial" w:hAnsi="Arial" w:cs="Arial"/>
          <w:sz w:val="18"/>
          <w:szCs w:val="18"/>
        </w:rPr>
        <w:t>aut transportowych, dźwigów i ekipy montażowej,</w:t>
      </w:r>
    </w:p>
    <w:p w:rsidR="007702C6" w:rsidRDefault="007702C6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koszty wykonania naprawy konstrukcji na której mają być montowane elementy prefabrykowane</w:t>
      </w:r>
    </w:p>
    <w:p w:rsidR="007702C6" w:rsidRDefault="007702C6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koszty napraw uszkodzeń urządzeń, sprzętu montażowego, żurawi, aut transportujących elementy pr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fabrykowane</w:t>
      </w:r>
    </w:p>
    <w:p w:rsidR="007702C6" w:rsidRDefault="007702C6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koszty magazynowania elementów w magazynie producenta</w:t>
      </w:r>
    </w:p>
    <w:p w:rsidR="007702C6" w:rsidRDefault="007702C6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konieczność magazynowania elementów prefabrykowanych na placu budowy, ryzyko zabrudzenia, uszkodzenia i zniszczenia, w konsekwencji koszty napraw, czyszczenia lub powtórnego wyprodukow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nia elementu </w:t>
      </w:r>
    </w:p>
    <w:p w:rsidR="007702C6" w:rsidRDefault="007702C6" w:rsidP="001C310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ryzyko wypadków na budowie, narażenie ekip montażowych na utratę zdrowia lub życia</w:t>
      </w:r>
    </w:p>
    <w:p w:rsidR="007702C6" w:rsidRDefault="007702C6" w:rsidP="001C3109">
      <w:pPr>
        <w:ind w:left="720"/>
        <w:rPr>
          <w:rFonts w:ascii="Arial" w:hAnsi="Arial" w:cs="Arial"/>
          <w:sz w:val="18"/>
          <w:szCs w:val="18"/>
        </w:rPr>
      </w:pPr>
    </w:p>
    <w:p w:rsidR="007702C6" w:rsidRPr="001C3109" w:rsidRDefault="007702C6" w:rsidP="001C3109">
      <w:pPr>
        <w:ind w:left="720"/>
        <w:rPr>
          <w:rFonts w:ascii="Arial" w:hAnsi="Arial" w:cs="Arial"/>
          <w:sz w:val="18"/>
          <w:szCs w:val="18"/>
        </w:rPr>
      </w:pPr>
    </w:p>
    <w:p w:rsidR="00ED5DA6" w:rsidRPr="00C63482" w:rsidRDefault="00ED5DA6" w:rsidP="00ED5DA6">
      <w:pPr>
        <w:rPr>
          <w:rFonts w:ascii="Arial" w:hAnsi="Arial" w:cs="Arial"/>
          <w:sz w:val="18"/>
          <w:szCs w:val="18"/>
        </w:rPr>
      </w:pPr>
    </w:p>
    <w:p w:rsidR="00ED5DA6" w:rsidRPr="00C63482" w:rsidRDefault="00ED5DA6" w:rsidP="00C63482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8"/>
      <w:footerReference w:type="default" r:id="rId9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39" w:rsidRDefault="00324139">
      <w:r>
        <w:separator/>
      </w:r>
    </w:p>
  </w:endnote>
  <w:endnote w:type="continuationSeparator" w:id="0">
    <w:p w:rsidR="00324139" w:rsidRDefault="0032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39" w:rsidRDefault="00324139">
      <w:r>
        <w:separator/>
      </w:r>
    </w:p>
  </w:footnote>
  <w:footnote w:type="continuationSeparator" w:id="0">
    <w:p w:rsidR="00324139" w:rsidRDefault="0032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209A"/>
    <w:multiLevelType w:val="hybridMultilevel"/>
    <w:tmpl w:val="2E34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84B9D"/>
    <w:rsid w:val="00155044"/>
    <w:rsid w:val="00180336"/>
    <w:rsid w:val="001C3109"/>
    <w:rsid w:val="00225EC2"/>
    <w:rsid w:val="002608EC"/>
    <w:rsid w:val="002A3E2A"/>
    <w:rsid w:val="00324139"/>
    <w:rsid w:val="00337E30"/>
    <w:rsid w:val="003478C5"/>
    <w:rsid w:val="00416449"/>
    <w:rsid w:val="00421A9D"/>
    <w:rsid w:val="004A419D"/>
    <w:rsid w:val="004E599D"/>
    <w:rsid w:val="004F7FD7"/>
    <w:rsid w:val="00507737"/>
    <w:rsid w:val="005720C1"/>
    <w:rsid w:val="005C313B"/>
    <w:rsid w:val="006F0BDE"/>
    <w:rsid w:val="00713FA3"/>
    <w:rsid w:val="007465E5"/>
    <w:rsid w:val="007702C6"/>
    <w:rsid w:val="00785160"/>
    <w:rsid w:val="007E7710"/>
    <w:rsid w:val="007E7979"/>
    <w:rsid w:val="007F66D7"/>
    <w:rsid w:val="00800A48"/>
    <w:rsid w:val="008A2993"/>
    <w:rsid w:val="008E2A58"/>
    <w:rsid w:val="00954955"/>
    <w:rsid w:val="00961CEC"/>
    <w:rsid w:val="009A13C1"/>
    <w:rsid w:val="00A97F8D"/>
    <w:rsid w:val="00AC4B7A"/>
    <w:rsid w:val="00B50BDE"/>
    <w:rsid w:val="00B764D1"/>
    <w:rsid w:val="00BF220D"/>
    <w:rsid w:val="00C63482"/>
    <w:rsid w:val="00CE5153"/>
    <w:rsid w:val="00CF69F1"/>
    <w:rsid w:val="00D057B2"/>
    <w:rsid w:val="00D1115B"/>
    <w:rsid w:val="00D12E78"/>
    <w:rsid w:val="00D42921"/>
    <w:rsid w:val="00D933D8"/>
    <w:rsid w:val="00DB2117"/>
    <w:rsid w:val="00DC4DFB"/>
    <w:rsid w:val="00E16278"/>
    <w:rsid w:val="00E46BD0"/>
    <w:rsid w:val="00EA7E46"/>
    <w:rsid w:val="00EC7120"/>
    <w:rsid w:val="00ED5DA6"/>
    <w:rsid w:val="00EE2585"/>
    <w:rsid w:val="00F15D8C"/>
    <w:rsid w:val="00F33944"/>
    <w:rsid w:val="00F50306"/>
    <w:rsid w:val="00F973E3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7</cp:revision>
  <dcterms:created xsi:type="dcterms:W3CDTF">2019-01-11T09:29:00Z</dcterms:created>
  <dcterms:modified xsi:type="dcterms:W3CDTF">2019-01-11T12:27:00Z</dcterms:modified>
</cp:coreProperties>
</file>